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EBD6" w14:textId="4B55065A" w:rsidR="004B0217" w:rsidRPr="0081348F" w:rsidRDefault="004B0217" w:rsidP="001F453B">
      <w:pPr>
        <w:spacing w:after="0"/>
        <w:ind w:right="-284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8134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E55F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</w:t>
      </w:r>
      <w:r w:rsidR="001F453B" w:rsidRPr="004B0217">
        <w:rPr>
          <w:rFonts w:ascii="Times New Roman" w:hAnsi="Times New Roman" w:cs="Times New Roman"/>
          <w:b/>
          <w:color w:val="E97132" w:themeColor="accent2"/>
          <w:sz w:val="32"/>
          <w:szCs w:val="32"/>
        </w:rPr>
        <w:t xml:space="preserve">CHARTE POUR UNE « NOUVELLE JUSTICE », </w:t>
      </w:r>
    </w:p>
    <w:p w14:paraId="22FE1310" w14:textId="3145FDE3" w:rsidR="001F453B" w:rsidRDefault="004B0217" w:rsidP="001F453B">
      <w:pPr>
        <w:spacing w:after="0"/>
        <w:ind w:right="-284"/>
        <w:jc w:val="both"/>
        <w:rPr>
          <w:rFonts w:ascii="Times New Roman" w:hAnsi="Times New Roman" w:cs="Times New Roman"/>
          <w:b/>
          <w:color w:val="E97132" w:themeColor="accent2"/>
          <w:sz w:val="32"/>
          <w:szCs w:val="32"/>
        </w:rPr>
      </w:pPr>
      <w:r w:rsidRPr="004B0217">
        <w:rPr>
          <w:rFonts w:ascii="Times New Roman" w:hAnsi="Times New Roman" w:cs="Times New Roman"/>
          <w:b/>
          <w:color w:val="E97132" w:themeColor="accent2"/>
          <w:sz w:val="32"/>
          <w:szCs w:val="32"/>
        </w:rPr>
        <w:t xml:space="preserve">                    </w:t>
      </w:r>
      <w:r w:rsidR="00986B72">
        <w:rPr>
          <w:rFonts w:ascii="Times New Roman" w:hAnsi="Times New Roman" w:cs="Times New Roman"/>
          <w:b/>
          <w:color w:val="E97132" w:themeColor="accent2"/>
          <w:sz w:val="32"/>
          <w:szCs w:val="32"/>
        </w:rPr>
        <w:t xml:space="preserve">   </w:t>
      </w:r>
      <w:r w:rsidR="001F453B" w:rsidRPr="004B0217">
        <w:rPr>
          <w:rFonts w:ascii="Times New Roman" w:hAnsi="Times New Roman" w:cs="Times New Roman"/>
          <w:b/>
          <w:color w:val="E97132" w:themeColor="accent2"/>
          <w:sz w:val="32"/>
          <w:szCs w:val="32"/>
        </w:rPr>
        <w:t>UNE JUSTICE ENFIN RESPONSABLE !</w:t>
      </w:r>
    </w:p>
    <w:p w14:paraId="30A16717" w14:textId="77777777" w:rsidR="00363C7C" w:rsidRDefault="00363C7C" w:rsidP="001F453B">
      <w:pPr>
        <w:spacing w:after="0"/>
        <w:ind w:right="-284"/>
        <w:jc w:val="both"/>
        <w:rPr>
          <w:rFonts w:ascii="Times New Roman" w:hAnsi="Times New Roman" w:cs="Times New Roman"/>
          <w:b/>
          <w:color w:val="E97132" w:themeColor="accent2"/>
          <w:sz w:val="32"/>
          <w:szCs w:val="32"/>
        </w:rPr>
      </w:pPr>
    </w:p>
    <w:p w14:paraId="0BF2EC01" w14:textId="6DF8B700" w:rsidR="00363C7C" w:rsidRPr="00363C7C" w:rsidRDefault="00363C7C" w:rsidP="00363C7C">
      <w:pPr>
        <w:pStyle w:val="Corpsdetexte2"/>
        <w:rPr>
          <w:b/>
          <w:sz w:val="28"/>
          <w:szCs w:val="28"/>
        </w:rPr>
      </w:pPr>
      <w:r w:rsidRPr="0030507E">
        <w:rPr>
          <w:b/>
          <w:sz w:val="28"/>
          <w:szCs w:val="28"/>
        </w:rPr>
        <w:t xml:space="preserve">Impératif d’organiser un </w:t>
      </w:r>
      <w:r>
        <w:rPr>
          <w:b/>
          <w:sz w:val="28"/>
          <w:szCs w:val="28"/>
        </w:rPr>
        <w:t>vrai contrôle</w:t>
      </w:r>
      <w:r w:rsidRPr="0030507E">
        <w:rPr>
          <w:b/>
          <w:sz w:val="28"/>
          <w:szCs w:val="28"/>
        </w:rPr>
        <w:t xml:space="preserve"> de la profession d’avocat et de notaire.</w:t>
      </w:r>
    </w:p>
    <w:p w14:paraId="612FA63C" w14:textId="333372AE" w:rsidR="00983700" w:rsidRPr="00E55F54" w:rsidRDefault="005A06F0" w:rsidP="001F453B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C22" w:rsidRPr="00E55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D34D4" w14:textId="69448219" w:rsidR="001F453B" w:rsidRDefault="00C50DA3" w:rsidP="001F453B">
      <w:pPr>
        <w:pStyle w:val="Corpsdetexte2"/>
        <w:rPr>
          <w:color w:val="E97132" w:themeColor="accent2"/>
          <w:sz w:val="28"/>
          <w:szCs w:val="28"/>
          <w:u w:val="single"/>
        </w:rPr>
      </w:pPr>
      <w:r w:rsidRPr="0030507E">
        <w:rPr>
          <w:color w:val="E97132" w:themeColor="accent2"/>
          <w:sz w:val="28"/>
          <w:szCs w:val="28"/>
          <w:u w:val="single"/>
        </w:rPr>
        <w:t xml:space="preserve">Concernant le vide juridique </w:t>
      </w:r>
      <w:r w:rsidR="00E538A0">
        <w:rPr>
          <w:color w:val="E97132" w:themeColor="accent2"/>
          <w:sz w:val="28"/>
          <w:szCs w:val="28"/>
          <w:u w:val="single"/>
        </w:rPr>
        <w:t xml:space="preserve">laissé </w:t>
      </w:r>
      <w:r w:rsidRPr="0030507E">
        <w:rPr>
          <w:color w:val="E97132" w:themeColor="accent2"/>
          <w:sz w:val="28"/>
          <w:szCs w:val="28"/>
          <w:u w:val="single"/>
        </w:rPr>
        <w:t>en amont</w:t>
      </w:r>
      <w:r w:rsidR="007C6B11" w:rsidRPr="0030507E">
        <w:rPr>
          <w:color w:val="E97132" w:themeColor="accent2"/>
          <w:sz w:val="28"/>
          <w:szCs w:val="28"/>
          <w:u w:val="single"/>
        </w:rPr>
        <w:t xml:space="preserve"> de nos droits fondamentaux</w:t>
      </w:r>
    </w:p>
    <w:p w14:paraId="368DD007" w14:textId="77777777" w:rsidR="00363C7C" w:rsidRPr="0030507E" w:rsidRDefault="00363C7C" w:rsidP="001F453B">
      <w:pPr>
        <w:pStyle w:val="Corpsdetexte2"/>
        <w:rPr>
          <w:b/>
          <w:sz w:val="28"/>
          <w:szCs w:val="28"/>
        </w:rPr>
      </w:pPr>
    </w:p>
    <w:p w14:paraId="50E6D3C3" w14:textId="06AB69FE" w:rsidR="001F453B" w:rsidRPr="0030507E" w:rsidRDefault="00503E99" w:rsidP="00FD7626">
      <w:pPr>
        <w:spacing w:after="0"/>
        <w:ind w:right="1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050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L’Etat doit</w:t>
      </w:r>
      <w:r w:rsidR="00D57C22" w:rsidRPr="003050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résoudre</w:t>
      </w:r>
      <w:r w:rsidR="00FD7626" w:rsidRPr="003050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l’infaisabilité</w:t>
      </w:r>
      <w:r w:rsidR="001F453B" w:rsidRPr="003050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85141" w:rsidRPr="003050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de l’Ordre</w:t>
      </w:r>
      <w:r w:rsidR="001F453B" w:rsidRPr="003050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des</w:t>
      </w:r>
      <w:r w:rsidR="00885141" w:rsidRPr="003050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F453B" w:rsidRPr="003050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Avocats et La Chambre des Notaires</w:t>
      </w:r>
      <w:r w:rsidRPr="0030507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en réformant</w:t>
      </w:r>
      <w:r w:rsidR="001F453B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ces deux </w:t>
      </w:r>
      <w:r w:rsidR="004B0217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="001F453B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rdres du pouvoir public</w:t>
      </w:r>
      <w:r w:rsidR="00581493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F453B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par la création d’organismes de </w:t>
      </w:r>
      <w:r w:rsidR="004B0217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contrôle</w:t>
      </w:r>
      <w:r w:rsidR="001F453B" w:rsidRPr="00305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neutres, fiables, opérationnels, aptes à résoudre 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 </w:t>
      </w:r>
      <w:r w:rsidR="001F453B" w:rsidRPr="003050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abus de</w:t>
      </w:r>
      <w:r w:rsidR="001F453B" w:rsidRPr="003050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pouvoir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453B" w:rsidRPr="003050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abus de confiance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453B" w:rsidRPr="003050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abus de </w:t>
      </w:r>
      <w:r w:rsidR="004B0217" w:rsidRPr="003050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faiblesse</w:t>
      </w:r>
      <w:r w:rsidR="004B021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217" w:rsidRPr="003050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abus</w:t>
      </w:r>
      <w:r w:rsidR="001F453B" w:rsidRPr="003050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B0217" w:rsidRPr="003050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d’autorité</w:t>
      </w:r>
      <w:r w:rsidR="004B021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217" w:rsidRPr="003050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escroqueries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et</w:t>
      </w:r>
      <w:r w:rsidR="004B021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53B" w:rsidRPr="003050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dénis de justice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, d’une certaine catégorie d’avocats et de notaires</w:t>
      </w:r>
      <w:r w:rsidR="004B021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(escrocs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dans l’exercice de leur fonction</w:t>
      </w:r>
      <w:r w:rsidR="004B021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453B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256C944" w14:textId="77777777" w:rsidR="001F453B" w:rsidRPr="0030507E" w:rsidRDefault="001F453B" w:rsidP="001F453B">
      <w:pPr>
        <w:pStyle w:val="Corpsdetexte2"/>
        <w:rPr>
          <w:bCs/>
          <w:color w:val="000000" w:themeColor="text1"/>
          <w:sz w:val="28"/>
          <w:szCs w:val="28"/>
        </w:rPr>
      </w:pPr>
    </w:p>
    <w:p w14:paraId="1673FEFC" w14:textId="5FFA9B0E" w:rsidR="001F453B" w:rsidRPr="0030507E" w:rsidRDefault="001F453B" w:rsidP="001F453B">
      <w:pPr>
        <w:pStyle w:val="Corpsdetexte2"/>
        <w:rPr>
          <w:iCs/>
          <w:color w:val="E97132" w:themeColor="accent2"/>
          <w:sz w:val="28"/>
          <w:szCs w:val="28"/>
          <w:u w:val="single"/>
        </w:rPr>
      </w:pPr>
      <w:r w:rsidRPr="0030507E">
        <w:rPr>
          <w:iCs/>
          <w:color w:val="E97132" w:themeColor="accent2"/>
          <w:sz w:val="28"/>
          <w:szCs w:val="28"/>
          <w:u w:val="single"/>
        </w:rPr>
        <w:t>Concernant le délai de prescription</w:t>
      </w:r>
      <w:r w:rsidR="00864600" w:rsidRPr="0030507E">
        <w:rPr>
          <w:iCs/>
          <w:color w:val="E97132" w:themeColor="accent2"/>
          <w:sz w:val="28"/>
          <w:szCs w:val="28"/>
          <w:u w:val="single"/>
        </w:rPr>
        <w:t xml:space="preserve"> pénale</w:t>
      </w:r>
      <w:r w:rsidR="009F0536">
        <w:rPr>
          <w:iCs/>
          <w:color w:val="E97132" w:themeColor="accent2"/>
          <w:sz w:val="28"/>
          <w:szCs w:val="28"/>
          <w:u w:val="single"/>
        </w:rPr>
        <w:t xml:space="preserve"> dès lors qu’il s’agisse de forfaiture d’avocats ou de notaires</w:t>
      </w:r>
    </w:p>
    <w:p w14:paraId="7B09D5BF" w14:textId="77777777" w:rsidR="001F453B" w:rsidRPr="0030507E" w:rsidRDefault="001F453B" w:rsidP="001F453B">
      <w:pPr>
        <w:pStyle w:val="Corpsdetexte2"/>
        <w:rPr>
          <w:b/>
          <w:color w:val="000000" w:themeColor="text1"/>
          <w:sz w:val="28"/>
          <w:szCs w:val="28"/>
        </w:rPr>
      </w:pPr>
    </w:p>
    <w:p w14:paraId="4359F62D" w14:textId="141C65FC" w:rsidR="001F453B" w:rsidRPr="0030507E" w:rsidRDefault="001F453B" w:rsidP="00864600">
      <w:pPr>
        <w:pStyle w:val="Corpsdetexte2"/>
        <w:rPr>
          <w:color w:val="000000" w:themeColor="text1"/>
          <w:sz w:val="28"/>
          <w:szCs w:val="28"/>
        </w:rPr>
      </w:pPr>
      <w:r w:rsidRPr="0030507E">
        <w:rPr>
          <w:color w:val="000000" w:themeColor="text1"/>
          <w:sz w:val="28"/>
          <w:szCs w:val="28"/>
        </w:rPr>
        <w:t xml:space="preserve">L’Etat </w:t>
      </w:r>
      <w:r w:rsidR="006F077D" w:rsidRPr="0030507E">
        <w:rPr>
          <w:color w:val="000000" w:themeColor="text1"/>
          <w:sz w:val="28"/>
          <w:szCs w:val="28"/>
        </w:rPr>
        <w:t>doit promulguer</w:t>
      </w:r>
      <w:r w:rsidR="00AA7449" w:rsidRPr="0030507E">
        <w:rPr>
          <w:color w:val="000000" w:themeColor="text1"/>
          <w:sz w:val="28"/>
          <w:szCs w:val="28"/>
        </w:rPr>
        <w:t xml:space="preserve"> une loi </w:t>
      </w:r>
      <w:r w:rsidR="00826F36" w:rsidRPr="0030507E">
        <w:rPr>
          <w:color w:val="000000" w:themeColor="text1"/>
          <w:sz w:val="28"/>
          <w:szCs w:val="28"/>
        </w:rPr>
        <w:t>qui permet d’étendre</w:t>
      </w:r>
      <w:r w:rsidRPr="0030507E">
        <w:rPr>
          <w:color w:val="000000" w:themeColor="text1"/>
          <w:sz w:val="28"/>
          <w:szCs w:val="28"/>
        </w:rPr>
        <w:t xml:space="preserve"> à trente ans </w:t>
      </w:r>
      <w:r w:rsidR="004B0217" w:rsidRPr="0030507E">
        <w:rPr>
          <w:color w:val="000000" w:themeColor="text1"/>
          <w:sz w:val="28"/>
          <w:szCs w:val="28"/>
        </w:rPr>
        <w:t>la prescription</w:t>
      </w:r>
      <w:r w:rsidRPr="0030507E">
        <w:rPr>
          <w:color w:val="000000" w:themeColor="text1"/>
          <w:sz w:val="28"/>
          <w:szCs w:val="28"/>
        </w:rPr>
        <w:t xml:space="preserve"> pénal</w:t>
      </w:r>
      <w:r w:rsidR="004B0217" w:rsidRPr="0030507E">
        <w:rPr>
          <w:color w:val="000000" w:themeColor="text1"/>
          <w:sz w:val="28"/>
          <w:szCs w:val="28"/>
        </w:rPr>
        <w:t>e</w:t>
      </w:r>
      <w:r w:rsidR="00D02F8B" w:rsidRPr="0030507E">
        <w:rPr>
          <w:color w:val="000000" w:themeColor="text1"/>
          <w:sz w:val="28"/>
          <w:szCs w:val="28"/>
        </w:rPr>
        <w:t>,</w:t>
      </w:r>
      <w:r w:rsidRPr="0030507E">
        <w:rPr>
          <w:color w:val="000000" w:themeColor="text1"/>
          <w:sz w:val="28"/>
          <w:szCs w:val="28"/>
        </w:rPr>
        <w:t xml:space="preserve"> </w:t>
      </w:r>
      <w:r w:rsidR="004B0217" w:rsidRPr="0030507E">
        <w:rPr>
          <w:color w:val="000000" w:themeColor="text1"/>
          <w:sz w:val="28"/>
          <w:szCs w:val="28"/>
        </w:rPr>
        <w:t xml:space="preserve">dès lors qu’il s’agisse de recours à introduire </w:t>
      </w:r>
      <w:r w:rsidR="007161D6" w:rsidRPr="0030507E">
        <w:rPr>
          <w:color w:val="000000" w:themeColor="text1"/>
          <w:sz w:val="28"/>
          <w:szCs w:val="28"/>
        </w:rPr>
        <w:t>par toute</w:t>
      </w:r>
      <w:r w:rsidR="004B0217" w:rsidRPr="0030507E">
        <w:rPr>
          <w:color w:val="000000" w:themeColor="text1"/>
          <w:sz w:val="28"/>
          <w:szCs w:val="28"/>
        </w:rPr>
        <w:t xml:space="preserve"> </w:t>
      </w:r>
      <w:r w:rsidRPr="0030507E">
        <w:rPr>
          <w:color w:val="000000" w:themeColor="text1"/>
          <w:sz w:val="28"/>
          <w:szCs w:val="28"/>
        </w:rPr>
        <w:t>victime</w:t>
      </w:r>
      <w:r w:rsidR="004B0217" w:rsidRPr="0030507E">
        <w:rPr>
          <w:color w:val="000000" w:themeColor="text1"/>
          <w:sz w:val="28"/>
          <w:szCs w:val="28"/>
        </w:rPr>
        <w:t xml:space="preserve"> de</w:t>
      </w:r>
      <w:r w:rsidR="00BB770C">
        <w:rPr>
          <w:color w:val="000000" w:themeColor="text1"/>
          <w:sz w:val="28"/>
          <w:szCs w:val="28"/>
        </w:rPr>
        <w:t xml:space="preserve"> forfaitures de la part</w:t>
      </w:r>
      <w:r w:rsidR="004B0217" w:rsidRPr="0030507E">
        <w:rPr>
          <w:color w:val="000000" w:themeColor="text1"/>
          <w:sz w:val="28"/>
          <w:szCs w:val="28"/>
        </w:rPr>
        <w:t xml:space="preserve"> son propre avocat ou son notaire.</w:t>
      </w:r>
    </w:p>
    <w:p w14:paraId="6D45E480" w14:textId="77777777" w:rsidR="001F453B" w:rsidRPr="0030507E" w:rsidRDefault="001F453B" w:rsidP="001F453B">
      <w:pPr>
        <w:pStyle w:val="Corpsdetexte2"/>
        <w:rPr>
          <w:color w:val="000000" w:themeColor="text1"/>
          <w:sz w:val="28"/>
          <w:szCs w:val="28"/>
        </w:rPr>
      </w:pPr>
      <w:r w:rsidRPr="0030507E">
        <w:rPr>
          <w:color w:val="000000" w:themeColor="text1"/>
          <w:sz w:val="28"/>
          <w:szCs w:val="28"/>
        </w:rPr>
        <w:t xml:space="preserve"> </w:t>
      </w:r>
    </w:p>
    <w:p w14:paraId="089911A0" w14:textId="12C392D1" w:rsidR="00D34125" w:rsidRPr="0030507E" w:rsidRDefault="00287C2D" w:rsidP="00287C2D">
      <w:pPr>
        <w:pStyle w:val="Corpsdetexte"/>
        <w:tabs>
          <w:tab w:val="left" w:pos="-411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7E">
        <w:rPr>
          <w:rFonts w:ascii="Times New Roman" w:hAnsi="Times New Roman" w:cs="Times New Roman"/>
          <w:bCs/>
          <w:sz w:val="28"/>
          <w:szCs w:val="28"/>
        </w:rPr>
        <w:t>(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>Les retard</w:t>
      </w:r>
      <w:r w:rsidR="003555EA" w:rsidRPr="0030507E">
        <w:rPr>
          <w:rFonts w:ascii="Times New Roman" w:hAnsi="Times New Roman" w:cs="Times New Roman"/>
          <w:bCs/>
          <w:sz w:val="28"/>
          <w:szCs w:val="28"/>
        </w:rPr>
        <w:t>s pris</w:t>
      </w:r>
      <w:r w:rsidR="00346228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D12" w:rsidRPr="0030507E">
        <w:rPr>
          <w:rFonts w:ascii="Times New Roman" w:hAnsi="Times New Roman" w:cs="Times New Roman"/>
          <w:bCs/>
          <w:sz w:val="28"/>
          <w:szCs w:val="28"/>
        </w:rPr>
        <w:t>par les victimes</w:t>
      </w:r>
      <w:r w:rsidR="00A123F7" w:rsidRPr="0030507E">
        <w:rPr>
          <w:rFonts w:ascii="Times New Roman" w:hAnsi="Times New Roman" w:cs="Times New Roman"/>
          <w:bCs/>
          <w:sz w:val="28"/>
          <w:szCs w:val="28"/>
        </w:rPr>
        <w:t>,</w:t>
      </w:r>
      <w:r w:rsidR="00710226" w:rsidRPr="0030507E">
        <w:rPr>
          <w:rFonts w:ascii="Times New Roman" w:hAnsi="Times New Roman" w:cs="Times New Roman"/>
          <w:bCs/>
          <w:sz w:val="28"/>
          <w:szCs w:val="28"/>
        </w:rPr>
        <w:t xml:space="preserve"> néophytes en droit</w:t>
      </w:r>
      <w:r w:rsidR="00A123F7" w:rsidRPr="0030507E">
        <w:rPr>
          <w:rFonts w:ascii="Times New Roman" w:hAnsi="Times New Roman" w:cs="Times New Roman"/>
          <w:bCs/>
          <w:sz w:val="28"/>
          <w:szCs w:val="28"/>
        </w:rPr>
        <w:t>,</w:t>
      </w:r>
      <w:r w:rsidR="00E90D12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228" w:rsidRPr="0030507E">
        <w:rPr>
          <w:rFonts w:ascii="Times New Roman" w:hAnsi="Times New Roman" w:cs="Times New Roman"/>
          <w:bCs/>
          <w:sz w:val="28"/>
          <w:szCs w:val="28"/>
        </w:rPr>
        <w:t>pour réagir</w:t>
      </w:r>
      <w:r w:rsidR="00AE3AC5" w:rsidRPr="0030507E">
        <w:rPr>
          <w:rFonts w:ascii="Times New Roman" w:hAnsi="Times New Roman" w:cs="Times New Roman"/>
          <w:bCs/>
          <w:sz w:val="28"/>
          <w:szCs w:val="28"/>
        </w:rPr>
        <w:t xml:space="preserve"> n’étant pas de leur fait</w:t>
      </w:r>
      <w:r w:rsidR="00624C03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3D1" w:rsidRPr="003050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dans la mesure où il faut </w:t>
      </w:r>
      <w:r w:rsidR="00364759" w:rsidRPr="0030507E">
        <w:rPr>
          <w:rFonts w:ascii="Times New Roman" w:hAnsi="Times New Roman" w:cs="Times New Roman"/>
          <w:bCs/>
          <w:sz w:val="28"/>
          <w:szCs w:val="28"/>
        </w:rPr>
        <w:t>nécessairement du temps</w:t>
      </w:r>
      <w:r w:rsidR="00C6636F" w:rsidRPr="0030507E">
        <w:rPr>
          <w:rFonts w:ascii="Times New Roman" w:hAnsi="Times New Roman" w:cs="Times New Roman"/>
          <w:bCs/>
          <w:sz w:val="28"/>
          <w:szCs w:val="28"/>
        </w:rPr>
        <w:t xml:space="preserve"> à tout un chacun pour</w:t>
      </w:r>
      <w:r w:rsidR="00C127BF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7BF" w:rsidRPr="0030507E">
        <w:rPr>
          <w:rFonts w:ascii="Times New Roman" w:hAnsi="Times New Roman" w:cs="Times New Roman"/>
          <w:bCs/>
          <w:sz w:val="28"/>
          <w:szCs w:val="28"/>
          <w:u w:val="single"/>
        </w:rPr>
        <w:t>sortir de l</w:t>
      </w:r>
      <w:r w:rsidR="00936396" w:rsidRPr="0030507E">
        <w:rPr>
          <w:rFonts w:ascii="Times New Roman" w:hAnsi="Times New Roman" w:cs="Times New Roman"/>
          <w:bCs/>
          <w:sz w:val="28"/>
          <w:szCs w:val="28"/>
          <w:u w:val="single"/>
        </w:rPr>
        <w:t>’état de</w:t>
      </w:r>
      <w:r w:rsidR="00C127BF" w:rsidRPr="003050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consternation</w:t>
      </w:r>
      <w:r w:rsidR="00831623" w:rsidRPr="0030507E">
        <w:rPr>
          <w:rFonts w:ascii="Times New Roman" w:hAnsi="Times New Roman" w:cs="Times New Roman"/>
          <w:bCs/>
          <w:sz w:val="28"/>
          <w:szCs w:val="28"/>
        </w:rPr>
        <w:t xml:space="preserve"> dans</w:t>
      </w:r>
      <w:r w:rsidR="001D6660" w:rsidRPr="0030507E">
        <w:rPr>
          <w:rFonts w:ascii="Times New Roman" w:hAnsi="Times New Roman" w:cs="Times New Roman"/>
          <w:bCs/>
          <w:sz w:val="28"/>
          <w:szCs w:val="28"/>
        </w:rPr>
        <w:t xml:space="preserve"> lequel</w:t>
      </w:r>
      <w:r w:rsidR="00831623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83C" w:rsidRPr="0030507E">
        <w:rPr>
          <w:rFonts w:ascii="Times New Roman" w:hAnsi="Times New Roman" w:cs="Times New Roman"/>
          <w:bCs/>
          <w:sz w:val="28"/>
          <w:szCs w:val="28"/>
        </w:rPr>
        <w:t>c</w:t>
      </w:r>
      <w:r w:rsidR="00831623" w:rsidRPr="0030507E">
        <w:rPr>
          <w:rFonts w:ascii="Times New Roman" w:hAnsi="Times New Roman" w:cs="Times New Roman"/>
          <w:bCs/>
          <w:sz w:val="28"/>
          <w:szCs w:val="28"/>
        </w:rPr>
        <w:t>es</w:t>
      </w:r>
      <w:r w:rsidR="001E3E46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7BF" w:rsidRPr="0030507E">
        <w:rPr>
          <w:rFonts w:ascii="Times New Roman" w:hAnsi="Times New Roman" w:cs="Times New Roman"/>
          <w:bCs/>
          <w:sz w:val="28"/>
          <w:szCs w:val="28"/>
        </w:rPr>
        <w:t xml:space="preserve"> comportements</w:t>
      </w:r>
      <w:r w:rsidR="00E600F0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1BA" w:rsidRPr="0030507E">
        <w:rPr>
          <w:rFonts w:ascii="Times New Roman" w:hAnsi="Times New Roman" w:cs="Times New Roman"/>
          <w:bCs/>
          <w:sz w:val="28"/>
          <w:szCs w:val="28"/>
        </w:rPr>
        <w:t xml:space="preserve">si </w:t>
      </w:r>
      <w:r w:rsidR="00D05F65" w:rsidRPr="0030507E">
        <w:rPr>
          <w:rFonts w:ascii="Times New Roman" w:hAnsi="Times New Roman" w:cs="Times New Roman"/>
          <w:bCs/>
          <w:sz w:val="28"/>
          <w:szCs w:val="28"/>
        </w:rPr>
        <w:t>sur</w:t>
      </w:r>
      <w:r w:rsidR="002D083C" w:rsidRPr="0030507E">
        <w:rPr>
          <w:rFonts w:ascii="Times New Roman" w:hAnsi="Times New Roman" w:cs="Times New Roman"/>
          <w:bCs/>
          <w:sz w:val="28"/>
          <w:szCs w:val="28"/>
        </w:rPr>
        <w:t>réalistes</w:t>
      </w:r>
      <w:r w:rsidR="00103743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7BF" w:rsidRPr="0030507E">
        <w:rPr>
          <w:rFonts w:ascii="Times New Roman" w:hAnsi="Times New Roman" w:cs="Times New Roman"/>
          <w:bCs/>
          <w:sz w:val="28"/>
          <w:szCs w:val="28"/>
        </w:rPr>
        <w:t>de la part de ses propres défenseurs</w:t>
      </w:r>
      <w:r w:rsidR="0006126F" w:rsidRPr="0030507E">
        <w:rPr>
          <w:rFonts w:ascii="Times New Roman" w:hAnsi="Times New Roman" w:cs="Times New Roman"/>
          <w:bCs/>
          <w:sz w:val="28"/>
          <w:szCs w:val="28"/>
        </w:rPr>
        <w:t xml:space="preserve"> peu</w:t>
      </w:r>
      <w:r w:rsidR="00141AC6" w:rsidRPr="0030507E">
        <w:rPr>
          <w:rFonts w:ascii="Times New Roman" w:hAnsi="Times New Roman" w:cs="Times New Roman"/>
          <w:bCs/>
          <w:sz w:val="28"/>
          <w:szCs w:val="28"/>
        </w:rPr>
        <w:t>vent</w:t>
      </w:r>
      <w:r w:rsidR="0006126F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768" w:rsidRPr="0030507E">
        <w:rPr>
          <w:rFonts w:ascii="Times New Roman" w:hAnsi="Times New Roman" w:cs="Times New Roman"/>
          <w:bCs/>
          <w:sz w:val="28"/>
          <w:szCs w:val="28"/>
        </w:rPr>
        <w:t>le plonger</w:t>
      </w:r>
      <w:r w:rsidR="00CF60DE" w:rsidRPr="0030507E">
        <w:rPr>
          <w:rFonts w:ascii="Times New Roman" w:hAnsi="Times New Roman" w:cs="Times New Roman"/>
          <w:bCs/>
          <w:sz w:val="28"/>
          <w:szCs w:val="28"/>
        </w:rPr>
        <w:t>,</w:t>
      </w:r>
      <w:r w:rsidR="009D6112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336" w:rsidRPr="0030507E">
        <w:rPr>
          <w:rFonts w:ascii="Times New Roman" w:hAnsi="Times New Roman" w:cs="Times New Roman"/>
          <w:bCs/>
          <w:sz w:val="28"/>
          <w:szCs w:val="28"/>
          <w:u w:val="single"/>
        </w:rPr>
        <w:t>analyser</w:t>
      </w:r>
      <w:r w:rsidR="00D02F8B" w:rsidRPr="003050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015E9" w:rsidRPr="003050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les </w:t>
      </w:r>
      <w:r w:rsidR="00547EC2" w:rsidRPr="0030507E">
        <w:rPr>
          <w:rFonts w:ascii="Times New Roman" w:hAnsi="Times New Roman" w:cs="Times New Roman"/>
          <w:bCs/>
          <w:sz w:val="28"/>
          <w:szCs w:val="28"/>
          <w:u w:val="single"/>
        </w:rPr>
        <w:t>difficultés superposées</w:t>
      </w:r>
      <w:r w:rsidR="00547EC2" w:rsidRPr="0030507E">
        <w:rPr>
          <w:rFonts w:ascii="Times New Roman" w:hAnsi="Times New Roman" w:cs="Times New Roman"/>
          <w:bCs/>
          <w:sz w:val="28"/>
          <w:szCs w:val="28"/>
        </w:rPr>
        <w:t xml:space="preserve"> de mains de maître</w:t>
      </w:r>
      <w:r w:rsidR="002E6717" w:rsidRPr="003050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0B8E" w:rsidRPr="0030507E">
        <w:rPr>
          <w:rFonts w:ascii="Times New Roman" w:hAnsi="Times New Roman" w:cs="Times New Roman"/>
          <w:bCs/>
          <w:sz w:val="28"/>
          <w:szCs w:val="28"/>
          <w:u w:val="single"/>
        </w:rPr>
        <w:t>détricoter les ficelles</w:t>
      </w:r>
      <w:r w:rsidR="00AA0937" w:rsidRPr="003050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juridiques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92C" w:rsidRPr="0030507E">
        <w:rPr>
          <w:rFonts w:ascii="Times New Roman" w:hAnsi="Times New Roman" w:cs="Times New Roman"/>
          <w:bCs/>
          <w:sz w:val="28"/>
          <w:szCs w:val="28"/>
        </w:rPr>
        <w:t>finement enchevêtrées</w:t>
      </w:r>
      <w:r w:rsidR="007757B2" w:rsidRPr="0030507E">
        <w:rPr>
          <w:rFonts w:ascii="Times New Roman" w:hAnsi="Times New Roman" w:cs="Times New Roman"/>
          <w:bCs/>
          <w:sz w:val="28"/>
          <w:szCs w:val="28"/>
        </w:rPr>
        <w:t xml:space="preserve"> pour</w:t>
      </w:r>
      <w:r w:rsidR="00093E6A" w:rsidRPr="0030507E">
        <w:rPr>
          <w:rFonts w:ascii="Times New Roman" w:hAnsi="Times New Roman" w:cs="Times New Roman"/>
          <w:bCs/>
          <w:sz w:val="28"/>
          <w:szCs w:val="28"/>
        </w:rPr>
        <w:t xml:space="preserve"> précisément retarder les recours</w:t>
      </w:r>
      <w:r w:rsidR="00A433D1" w:rsidRPr="0030507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AFE" w:rsidRPr="0030507E">
        <w:rPr>
          <w:rFonts w:ascii="Times New Roman" w:hAnsi="Times New Roman" w:cs="Times New Roman"/>
          <w:bCs/>
          <w:sz w:val="28"/>
          <w:szCs w:val="28"/>
        </w:rPr>
        <w:t>il siérait de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décréter que les victimes de </w:t>
      </w:r>
      <w:r w:rsidR="007161D6" w:rsidRPr="0030507E">
        <w:rPr>
          <w:rFonts w:ascii="Times New Roman" w:hAnsi="Times New Roman" w:cs="Times New Roman"/>
          <w:bCs/>
          <w:sz w:val="28"/>
          <w:szCs w:val="28"/>
        </w:rPr>
        <w:t>forfaitures d</w:t>
      </w:r>
      <w:r w:rsidR="00DC6DD4" w:rsidRPr="0030507E">
        <w:rPr>
          <w:rFonts w:ascii="Times New Roman" w:hAnsi="Times New Roman" w:cs="Times New Roman"/>
          <w:bCs/>
          <w:sz w:val="28"/>
          <w:szCs w:val="28"/>
        </w:rPr>
        <w:t xml:space="preserve">e ses propres </w:t>
      </w:r>
      <w:r w:rsidR="007161D6" w:rsidRPr="0030507E">
        <w:rPr>
          <w:rFonts w:ascii="Times New Roman" w:hAnsi="Times New Roman" w:cs="Times New Roman"/>
          <w:bCs/>
          <w:sz w:val="28"/>
          <w:szCs w:val="28"/>
        </w:rPr>
        <w:t>avocats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DD4" w:rsidRPr="0030507E">
        <w:rPr>
          <w:rFonts w:ascii="Times New Roman" w:hAnsi="Times New Roman" w:cs="Times New Roman"/>
          <w:bCs/>
          <w:sz w:val="28"/>
          <w:szCs w:val="28"/>
        </w:rPr>
        <w:t>ou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notaires laissées sur le </w:t>
      </w:r>
      <w:r w:rsidR="00D02F8B" w:rsidRPr="0030507E">
        <w:rPr>
          <w:rFonts w:ascii="Times New Roman" w:hAnsi="Times New Roman" w:cs="Times New Roman"/>
          <w:bCs/>
          <w:sz w:val="28"/>
          <w:szCs w:val="28"/>
        </w:rPr>
        <w:t>bas-côté</w:t>
      </w:r>
      <w:r w:rsidR="001E6A78" w:rsidRPr="0030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>de la route bénéficient d</w:t>
      </w:r>
      <w:r w:rsidR="009D0303" w:rsidRPr="0030507E">
        <w:rPr>
          <w:rFonts w:ascii="Times New Roman" w:hAnsi="Times New Roman" w:cs="Times New Roman"/>
          <w:bCs/>
          <w:sz w:val="28"/>
          <w:szCs w:val="28"/>
        </w:rPr>
        <w:t>’</w:t>
      </w:r>
      <w:r w:rsidR="009D0303" w:rsidRPr="0030507E">
        <w:rPr>
          <w:rFonts w:ascii="Times New Roman" w:hAnsi="Times New Roman" w:cs="Times New Roman"/>
          <w:bCs/>
          <w:sz w:val="28"/>
          <w:szCs w:val="28"/>
          <w:u w:val="single"/>
        </w:rPr>
        <w:t>un délai de</w:t>
      </w:r>
      <w:r w:rsidR="001F453B" w:rsidRPr="003050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trente ans après les faits</w:t>
      </w:r>
      <w:r w:rsidR="001F453B" w:rsidRPr="0030507E">
        <w:rPr>
          <w:rFonts w:ascii="Times New Roman" w:hAnsi="Times New Roman" w:cs="Times New Roman"/>
          <w:bCs/>
          <w:sz w:val="28"/>
          <w:szCs w:val="28"/>
        </w:rPr>
        <w:t xml:space="preserve"> pour </w:t>
      </w:r>
      <w:r w:rsidR="00317E54" w:rsidRPr="0030507E">
        <w:rPr>
          <w:rFonts w:ascii="Times New Roman" w:hAnsi="Times New Roman" w:cs="Times New Roman"/>
          <w:bCs/>
          <w:sz w:val="28"/>
          <w:szCs w:val="28"/>
        </w:rPr>
        <w:t>déposer plainte</w:t>
      </w:r>
      <w:r w:rsidR="00EA01F2" w:rsidRPr="0030507E">
        <w:rPr>
          <w:rFonts w:ascii="Times New Roman" w:hAnsi="Times New Roman" w:cs="Times New Roman"/>
          <w:bCs/>
          <w:sz w:val="28"/>
          <w:szCs w:val="28"/>
        </w:rPr>
        <w:t>)</w:t>
      </w:r>
      <w:r w:rsidR="009C3EEF" w:rsidRPr="003050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15D542" w14:textId="3F62FBB6" w:rsidR="00D34125" w:rsidRPr="0030507E" w:rsidRDefault="004B373A" w:rsidP="00E55F54">
      <w:pPr>
        <w:pStyle w:val="Corpsdetexte2"/>
        <w:rPr>
          <w:bCs/>
          <w:color w:val="000000" w:themeColor="text1"/>
          <w:sz w:val="28"/>
          <w:szCs w:val="28"/>
        </w:rPr>
      </w:pPr>
      <w:r w:rsidRPr="0030507E">
        <w:rPr>
          <w:bCs/>
          <w:color w:val="000000" w:themeColor="text1"/>
          <w:sz w:val="28"/>
          <w:szCs w:val="28"/>
        </w:rPr>
        <w:t xml:space="preserve">En </w:t>
      </w:r>
      <w:r w:rsidR="000C3334" w:rsidRPr="0030507E">
        <w:rPr>
          <w:bCs/>
          <w:color w:val="000000" w:themeColor="text1"/>
          <w:sz w:val="28"/>
          <w:szCs w:val="28"/>
        </w:rPr>
        <w:t>atten</w:t>
      </w:r>
      <w:r w:rsidRPr="0030507E">
        <w:rPr>
          <w:bCs/>
          <w:color w:val="000000" w:themeColor="text1"/>
          <w:sz w:val="28"/>
          <w:szCs w:val="28"/>
        </w:rPr>
        <w:t xml:space="preserve">dant la promulgation de </w:t>
      </w:r>
      <w:r w:rsidR="000C3334" w:rsidRPr="0030507E">
        <w:rPr>
          <w:bCs/>
          <w:color w:val="000000" w:themeColor="text1"/>
          <w:sz w:val="28"/>
          <w:szCs w:val="28"/>
        </w:rPr>
        <w:t xml:space="preserve">ces nouvelles lois, l’Etat doit accorder une dérogation aux victimes d’une certaine catégorie d’avocats et de notaires leur permettant de déposer plainte après </w:t>
      </w:r>
      <w:r w:rsidR="00BC1F7B" w:rsidRPr="0030507E">
        <w:rPr>
          <w:bCs/>
          <w:color w:val="000000" w:themeColor="text1"/>
          <w:sz w:val="28"/>
          <w:szCs w:val="28"/>
        </w:rPr>
        <w:t>six</w:t>
      </w:r>
      <w:r w:rsidR="000C3334" w:rsidRPr="0030507E">
        <w:rPr>
          <w:bCs/>
          <w:color w:val="000000" w:themeColor="text1"/>
          <w:sz w:val="28"/>
          <w:szCs w:val="28"/>
        </w:rPr>
        <w:t xml:space="preserve"> ans révolus, attendu que le délai</w:t>
      </w:r>
      <w:r w:rsidR="00972064" w:rsidRPr="0030507E">
        <w:rPr>
          <w:bCs/>
          <w:color w:val="000000" w:themeColor="text1"/>
          <w:sz w:val="28"/>
          <w:szCs w:val="28"/>
        </w:rPr>
        <w:t xml:space="preserve"> actuel</w:t>
      </w:r>
      <w:r w:rsidR="000C3334" w:rsidRPr="0030507E">
        <w:rPr>
          <w:bCs/>
          <w:color w:val="000000" w:themeColor="text1"/>
          <w:sz w:val="28"/>
          <w:szCs w:val="28"/>
        </w:rPr>
        <w:t xml:space="preserve"> de prescription</w:t>
      </w:r>
      <w:r w:rsidR="00BC1F7B" w:rsidRPr="0030507E">
        <w:rPr>
          <w:bCs/>
          <w:color w:val="000000" w:themeColor="text1"/>
          <w:sz w:val="28"/>
          <w:szCs w:val="28"/>
        </w:rPr>
        <w:t xml:space="preserve"> </w:t>
      </w:r>
      <w:r w:rsidR="00DE4A9B" w:rsidRPr="0030507E">
        <w:rPr>
          <w:bCs/>
          <w:color w:val="000000" w:themeColor="text1"/>
          <w:sz w:val="28"/>
          <w:szCs w:val="28"/>
        </w:rPr>
        <w:t>s’avère trop court pour</w:t>
      </w:r>
      <w:r w:rsidR="00DD3E71" w:rsidRPr="0030507E">
        <w:rPr>
          <w:bCs/>
          <w:color w:val="000000" w:themeColor="text1"/>
          <w:sz w:val="28"/>
          <w:szCs w:val="28"/>
        </w:rPr>
        <w:t xml:space="preserve"> </w:t>
      </w:r>
      <w:r w:rsidR="000C3334" w:rsidRPr="0030507E">
        <w:rPr>
          <w:bCs/>
          <w:color w:val="000000" w:themeColor="text1"/>
          <w:sz w:val="28"/>
          <w:szCs w:val="28"/>
        </w:rPr>
        <w:t xml:space="preserve">ces « victimes particulières », c’est-à-dire trahies par leur propre avocat et/ou notaire. </w:t>
      </w:r>
    </w:p>
    <w:p w14:paraId="2DE30EA9" w14:textId="77777777" w:rsidR="00D34125" w:rsidRPr="0030507E" w:rsidRDefault="00D34125" w:rsidP="00E55F54">
      <w:pPr>
        <w:pStyle w:val="Corpsdetexte2"/>
        <w:rPr>
          <w:bCs/>
          <w:color w:val="000000" w:themeColor="text1"/>
          <w:sz w:val="28"/>
          <w:szCs w:val="28"/>
        </w:rPr>
      </w:pPr>
    </w:p>
    <w:p w14:paraId="73690D69" w14:textId="39F723D9" w:rsidR="00BB6188" w:rsidRPr="0030507E" w:rsidRDefault="00BB6188" w:rsidP="00F63A32">
      <w:pPr>
        <w:pStyle w:val="Corpsdetexte"/>
        <w:tabs>
          <w:tab w:val="left" w:pos="-4111"/>
        </w:tabs>
        <w:jc w:val="both"/>
        <w:rPr>
          <w:rFonts w:ascii="Times New Roman" w:hAnsi="Times New Roman" w:cs="Times New Roman"/>
          <w:bCs/>
          <w:color w:val="E97132" w:themeColor="accent2"/>
          <w:sz w:val="28"/>
          <w:szCs w:val="28"/>
          <w:u w:val="single"/>
        </w:rPr>
      </w:pPr>
      <w:r w:rsidRPr="0030507E">
        <w:rPr>
          <w:rFonts w:ascii="Times New Roman" w:hAnsi="Times New Roman" w:cs="Times New Roman"/>
          <w:bCs/>
          <w:color w:val="E97132" w:themeColor="accent2"/>
          <w:sz w:val="28"/>
          <w:szCs w:val="28"/>
          <w:u w:val="single"/>
        </w:rPr>
        <w:t xml:space="preserve">Concernant les </w:t>
      </w:r>
      <w:r w:rsidR="00F63A32" w:rsidRPr="0030507E">
        <w:rPr>
          <w:rFonts w:ascii="Times New Roman" w:hAnsi="Times New Roman" w:cs="Times New Roman"/>
          <w:bCs/>
          <w:color w:val="E97132" w:themeColor="accent2"/>
          <w:sz w:val="28"/>
          <w:szCs w:val="28"/>
          <w:u w:val="single"/>
        </w:rPr>
        <w:t xml:space="preserve">biens immobiliers </w:t>
      </w:r>
      <w:r w:rsidR="00DD6F6D" w:rsidRPr="0030507E">
        <w:rPr>
          <w:rFonts w:ascii="Times New Roman" w:hAnsi="Times New Roman" w:cs="Times New Roman"/>
          <w:bCs/>
          <w:color w:val="E97132" w:themeColor="accent2"/>
          <w:sz w:val="28"/>
          <w:szCs w:val="28"/>
          <w:u w:val="single"/>
        </w:rPr>
        <w:t>détournés par ses propres défenseurs</w:t>
      </w:r>
      <w:r w:rsidRPr="0030507E">
        <w:rPr>
          <w:rFonts w:ascii="Times New Roman" w:hAnsi="Times New Roman" w:cs="Times New Roman"/>
          <w:bCs/>
          <w:color w:val="E97132" w:themeColor="accent2"/>
          <w:sz w:val="28"/>
          <w:szCs w:val="28"/>
          <w:u w:val="single"/>
        </w:rPr>
        <w:t>.</w:t>
      </w:r>
    </w:p>
    <w:p w14:paraId="5C428A93" w14:textId="28C66560" w:rsidR="00D55427" w:rsidRPr="0030507E" w:rsidRDefault="001F453B" w:rsidP="00391CB8">
      <w:pPr>
        <w:pStyle w:val="Corpsdetexte"/>
        <w:tabs>
          <w:tab w:val="left" w:pos="-411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07E">
        <w:rPr>
          <w:rFonts w:ascii="Times New Roman" w:hAnsi="Times New Roman" w:cs="Times New Roman"/>
          <w:bCs/>
          <w:sz w:val="28"/>
          <w:szCs w:val="28"/>
        </w:rPr>
        <w:t>L’Etat doit r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endre possible la restitution pure et simple</w:t>
      </w:r>
      <w:r w:rsidR="0062019F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 nature</w:t>
      </w:r>
      <w:r w:rsidR="0062019F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 propriétés volées à leur victime</w:t>
      </w:r>
      <w:r w:rsidR="00A61FFC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dès lors qu’il s’agisse de  détournements</w:t>
      </w:r>
      <w:r w:rsidR="00A61FFC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biens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pratiqués dans les  conditions analogues à celles u</w:t>
      </w:r>
      <w:r w:rsidR="00AC3133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sitées 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 Maîtres Bernard Estradier, 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Etienne Draillard (avocats) et Jean-Claude Bertrand (notaire) pour déposséder May DUPE de sa propriété</w:t>
      </w:r>
      <w:r w:rsidR="00AC3133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 Camille Amélie »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; et qu’il soit, en outre, accordé à ces victimes </w:t>
      </w:r>
      <w:r w:rsidR="009A71CE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des 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dommages et intérêts en réparation de l’ensemble des préjudices matériels et moraux </w:t>
      </w:r>
      <w:r w:rsidR="007224F4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lorsque les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forfaitures</w:t>
      </w:r>
      <w:r w:rsidR="007224F4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sont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avérées.  Que les avocats </w:t>
      </w:r>
      <w:r w:rsidR="009A71CE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et/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ou notaires coupables de forfaitures soient sanctionnés de manière exempl</w:t>
      </w:r>
      <w:r w:rsidR="008A4ABA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aire </w:t>
      </w:r>
      <w:r w:rsidR="00A348BF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par des dommages et intérêts à verser à leur victime</w:t>
      </w:r>
      <w:r w:rsidR="00A5146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pour les préjudices matériels et moraux causés à leur propre client,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afin de décourage</w:t>
      </w:r>
      <w:r w:rsidR="009A71CE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définitivement de tel</w:t>
      </w:r>
      <w:r w:rsidR="001012EF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s comportements</w:t>
      </w:r>
      <w:r w:rsidR="00A51467" w:rsidRPr="003050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08A382" w14:textId="59AED841" w:rsidR="001F453B" w:rsidRPr="0030507E" w:rsidRDefault="001F453B" w:rsidP="00853FD4">
      <w:pPr>
        <w:pStyle w:val="Corpsdetexte2"/>
        <w:rPr>
          <w:sz w:val="28"/>
          <w:szCs w:val="28"/>
        </w:rPr>
      </w:pPr>
      <w:r w:rsidRPr="0030507E">
        <w:rPr>
          <w:color w:val="000000" w:themeColor="text1"/>
          <w:sz w:val="28"/>
          <w:szCs w:val="28"/>
        </w:rPr>
        <w:t xml:space="preserve">L’Etat doit accorder que soient réparées </w:t>
      </w:r>
      <w:r w:rsidR="005B161F" w:rsidRPr="0030507E">
        <w:rPr>
          <w:color w:val="000000" w:themeColor="text1"/>
          <w:sz w:val="28"/>
          <w:szCs w:val="28"/>
        </w:rPr>
        <w:t>toutes le</w:t>
      </w:r>
      <w:r w:rsidRPr="0030507E">
        <w:rPr>
          <w:color w:val="000000" w:themeColor="text1"/>
          <w:sz w:val="28"/>
          <w:szCs w:val="28"/>
        </w:rPr>
        <w:t xml:space="preserve">s situations détruites, par </w:t>
      </w:r>
      <w:r w:rsidRPr="0030507E">
        <w:rPr>
          <w:i/>
          <w:sz w:val="28"/>
          <w:szCs w:val="28"/>
        </w:rPr>
        <w:t>abus de pouvoir, abus de confiance, abus de faiblesse, escroquerie, déni de justice,</w:t>
      </w:r>
      <w:r w:rsidRPr="0030507E">
        <w:rPr>
          <w:sz w:val="28"/>
          <w:szCs w:val="28"/>
        </w:rPr>
        <w:t xml:space="preserve"> pratiqués par une certaine catégorie d’avocats et de notaires </w:t>
      </w:r>
      <w:r w:rsidR="005B161F" w:rsidRPr="0030507E">
        <w:rPr>
          <w:sz w:val="28"/>
          <w:szCs w:val="28"/>
        </w:rPr>
        <w:t>(escrocs</w:t>
      </w:r>
      <w:r w:rsidR="00215E3C" w:rsidRPr="0030507E">
        <w:rPr>
          <w:sz w:val="28"/>
          <w:szCs w:val="28"/>
        </w:rPr>
        <w:t xml:space="preserve">) </w:t>
      </w:r>
      <w:r w:rsidRPr="0030507E">
        <w:rPr>
          <w:sz w:val="28"/>
          <w:szCs w:val="28"/>
        </w:rPr>
        <w:t>dans l’exercice de leur fonction.</w:t>
      </w:r>
    </w:p>
    <w:p w14:paraId="7D756673" w14:textId="77777777" w:rsidR="001F453B" w:rsidRPr="0030507E" w:rsidRDefault="001F453B" w:rsidP="001F453B">
      <w:pPr>
        <w:pStyle w:val="Corpsdetexte2"/>
        <w:rPr>
          <w:sz w:val="28"/>
          <w:szCs w:val="28"/>
        </w:rPr>
      </w:pPr>
    </w:p>
    <w:p w14:paraId="1BE83AC6" w14:textId="3B4DF24E" w:rsidR="001F453B" w:rsidRPr="0030507E" w:rsidRDefault="001F453B" w:rsidP="001F453B">
      <w:pPr>
        <w:pStyle w:val="Corpsdetexte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507E">
        <w:rPr>
          <w:rFonts w:ascii="Times New Roman" w:hAnsi="Times New Roman" w:cs="Times New Roman"/>
          <w:bCs/>
          <w:iCs/>
          <w:color w:val="E97132" w:themeColor="accent2"/>
          <w:sz w:val="28"/>
          <w:szCs w:val="28"/>
          <w:u w:val="single"/>
        </w:rPr>
        <w:t>Concernant les honoraires des avocats</w:t>
      </w:r>
      <w:r w:rsidRPr="0030507E">
        <w:rPr>
          <w:rFonts w:ascii="Times New Roman" w:hAnsi="Times New Roman" w:cs="Times New Roman"/>
          <w:bCs/>
          <w:iCs/>
          <w:color w:val="E97132" w:themeColor="accent2"/>
          <w:sz w:val="28"/>
          <w:szCs w:val="28"/>
        </w:rPr>
        <w:t> </w:t>
      </w:r>
    </w:p>
    <w:p w14:paraId="37238530" w14:textId="29257EAE" w:rsidR="001F453B" w:rsidRPr="0030507E" w:rsidRDefault="001F453B" w:rsidP="00215E3C">
      <w:pPr>
        <w:pStyle w:val="Corpsdetexte2"/>
        <w:rPr>
          <w:bCs/>
          <w:color w:val="000000" w:themeColor="text1"/>
          <w:sz w:val="28"/>
          <w:szCs w:val="28"/>
        </w:rPr>
      </w:pPr>
      <w:r w:rsidRPr="0030507E">
        <w:rPr>
          <w:bCs/>
          <w:color w:val="000000" w:themeColor="text1"/>
          <w:sz w:val="28"/>
          <w:szCs w:val="28"/>
        </w:rPr>
        <w:t xml:space="preserve">La réforme à venir doit calquer sur la méthode américaine qui est celle de rétribuer l’avocat sur résultat. En l’absence de résultat (ne dépendant pas uniquement de sa mise en </w:t>
      </w:r>
      <w:r w:rsidR="00215E3C" w:rsidRPr="0030507E">
        <w:rPr>
          <w:bCs/>
          <w:color w:val="000000" w:themeColor="text1"/>
          <w:sz w:val="28"/>
          <w:szCs w:val="28"/>
        </w:rPr>
        <w:t>œuvre mais</w:t>
      </w:r>
      <w:r w:rsidRPr="0030507E">
        <w:rPr>
          <w:bCs/>
          <w:color w:val="000000" w:themeColor="text1"/>
          <w:sz w:val="28"/>
          <w:szCs w:val="28"/>
        </w:rPr>
        <w:t xml:space="preserve"> aussi de l’appréciation du juge), il doit être dédommagé à hauteur de ses interventions et de manière substantielle. </w:t>
      </w:r>
    </w:p>
    <w:p w14:paraId="04C5B0CE" w14:textId="77777777" w:rsidR="00EB518F" w:rsidRPr="0030507E" w:rsidRDefault="00EB518F" w:rsidP="00EB518F">
      <w:pPr>
        <w:pStyle w:val="Corpsdetexte2"/>
        <w:rPr>
          <w:bCs/>
          <w:color w:val="000000" w:themeColor="text1"/>
          <w:sz w:val="28"/>
          <w:szCs w:val="28"/>
        </w:rPr>
      </w:pPr>
    </w:p>
    <w:p w14:paraId="289792AB" w14:textId="7E956B39" w:rsidR="001F453B" w:rsidRPr="0030507E" w:rsidRDefault="00EB518F" w:rsidP="00EB518F">
      <w:pPr>
        <w:pStyle w:val="Corpsdetexte2"/>
        <w:rPr>
          <w:bCs/>
          <w:color w:val="000000" w:themeColor="text1"/>
          <w:sz w:val="28"/>
          <w:szCs w:val="28"/>
        </w:rPr>
      </w:pPr>
      <w:r w:rsidRPr="0030507E">
        <w:rPr>
          <w:bCs/>
          <w:color w:val="000000" w:themeColor="text1"/>
          <w:sz w:val="28"/>
          <w:szCs w:val="28"/>
        </w:rPr>
        <w:t>Cette réforme doit i</w:t>
      </w:r>
      <w:r w:rsidR="001F453B" w:rsidRPr="0030507E">
        <w:rPr>
          <w:bCs/>
          <w:color w:val="000000" w:themeColor="text1"/>
          <w:sz w:val="28"/>
          <w:szCs w:val="28"/>
        </w:rPr>
        <w:t>nstituer une rémunération complémentaire des avocats, sous forme de prime aux résultats</w:t>
      </w:r>
      <w:r w:rsidRPr="0030507E">
        <w:rPr>
          <w:bCs/>
          <w:color w:val="000000" w:themeColor="text1"/>
          <w:sz w:val="28"/>
          <w:szCs w:val="28"/>
        </w:rPr>
        <w:t>,</w:t>
      </w:r>
      <w:r w:rsidR="001F453B" w:rsidRPr="0030507E">
        <w:rPr>
          <w:bCs/>
          <w:color w:val="000000" w:themeColor="text1"/>
          <w:sz w:val="28"/>
          <w:szCs w:val="28"/>
        </w:rPr>
        <w:t xml:space="preserve"> par l’application d’un pourcentage sur </w:t>
      </w:r>
      <w:r w:rsidR="00F315AA" w:rsidRPr="0030507E">
        <w:rPr>
          <w:bCs/>
          <w:color w:val="000000" w:themeColor="text1"/>
          <w:sz w:val="28"/>
          <w:szCs w:val="28"/>
        </w:rPr>
        <w:t>les sommes</w:t>
      </w:r>
      <w:r w:rsidR="001F453B" w:rsidRPr="0030507E">
        <w:rPr>
          <w:bCs/>
          <w:color w:val="000000" w:themeColor="text1"/>
          <w:sz w:val="28"/>
          <w:szCs w:val="28"/>
        </w:rPr>
        <w:t xml:space="preserve"> qu’il fait obtenir </w:t>
      </w:r>
      <w:r w:rsidR="005F6A95" w:rsidRPr="0030507E">
        <w:rPr>
          <w:bCs/>
          <w:color w:val="000000" w:themeColor="text1"/>
          <w:sz w:val="28"/>
          <w:szCs w:val="28"/>
        </w:rPr>
        <w:t xml:space="preserve">à son </w:t>
      </w:r>
      <w:r w:rsidR="001F453B" w:rsidRPr="0030507E">
        <w:rPr>
          <w:bCs/>
          <w:color w:val="000000" w:themeColor="text1"/>
          <w:sz w:val="28"/>
          <w:szCs w:val="28"/>
        </w:rPr>
        <w:t>client, au</w:t>
      </w:r>
      <w:r w:rsidR="00F315AA" w:rsidRPr="0030507E">
        <w:rPr>
          <w:bCs/>
          <w:color w:val="000000" w:themeColor="text1"/>
          <w:sz w:val="28"/>
          <w:szCs w:val="28"/>
        </w:rPr>
        <w:t>x</w:t>
      </w:r>
      <w:r w:rsidR="001F453B" w:rsidRPr="0030507E">
        <w:rPr>
          <w:bCs/>
          <w:color w:val="000000" w:themeColor="text1"/>
          <w:sz w:val="28"/>
          <w:szCs w:val="28"/>
        </w:rPr>
        <w:t>quel</w:t>
      </w:r>
      <w:r w:rsidR="00F315AA" w:rsidRPr="0030507E">
        <w:rPr>
          <w:bCs/>
          <w:color w:val="000000" w:themeColor="text1"/>
          <w:sz w:val="28"/>
          <w:szCs w:val="28"/>
        </w:rPr>
        <w:t>les</w:t>
      </w:r>
      <w:r w:rsidR="001F453B" w:rsidRPr="0030507E">
        <w:rPr>
          <w:bCs/>
          <w:color w:val="000000" w:themeColor="text1"/>
          <w:sz w:val="28"/>
          <w:szCs w:val="28"/>
        </w:rPr>
        <w:t xml:space="preserve"> s’ajoute l’actuel article 700.</w:t>
      </w:r>
    </w:p>
    <w:p w14:paraId="59E26829" w14:textId="77777777" w:rsidR="001F453B" w:rsidRPr="0030507E" w:rsidRDefault="001F453B" w:rsidP="001F453B">
      <w:pPr>
        <w:pStyle w:val="Corpsdetexte2"/>
        <w:rPr>
          <w:bCs/>
          <w:color w:val="000000" w:themeColor="text1"/>
          <w:sz w:val="28"/>
          <w:szCs w:val="28"/>
        </w:rPr>
      </w:pPr>
    </w:p>
    <w:p w14:paraId="5DC2D604" w14:textId="0C794DB3" w:rsidR="001F453B" w:rsidRPr="0030507E" w:rsidRDefault="004C2B7F" w:rsidP="00F315AA">
      <w:pPr>
        <w:pStyle w:val="Corpsdetexte2"/>
        <w:rPr>
          <w:bCs/>
          <w:color w:val="000000" w:themeColor="text1"/>
          <w:sz w:val="28"/>
          <w:szCs w:val="28"/>
        </w:rPr>
      </w:pPr>
      <w:r w:rsidRPr="0030507E">
        <w:rPr>
          <w:bCs/>
          <w:color w:val="000000" w:themeColor="text1"/>
          <w:sz w:val="28"/>
          <w:szCs w:val="28"/>
        </w:rPr>
        <w:t>Il conviendrait également de n</w:t>
      </w:r>
      <w:r w:rsidR="001F453B" w:rsidRPr="0030507E">
        <w:rPr>
          <w:bCs/>
          <w:color w:val="000000" w:themeColor="text1"/>
          <w:sz w:val="28"/>
          <w:szCs w:val="28"/>
        </w:rPr>
        <w:t xml:space="preserve">iveler les honoraires de la profession d’avocat sur les tarifs de l’aide juridictionnelle. </w:t>
      </w:r>
      <w:r w:rsidR="001F453B" w:rsidRPr="0030507E">
        <w:rPr>
          <w:bCs/>
          <w:color w:val="000000" w:themeColor="text1"/>
          <w:sz w:val="28"/>
          <w:szCs w:val="28"/>
          <w:u w:val="single"/>
        </w:rPr>
        <w:t>Ses tarifs devant être augmentés de manière substantielle pour garantir de manière effective</w:t>
      </w:r>
      <w:r w:rsidR="001F453B" w:rsidRPr="0030507E">
        <w:rPr>
          <w:bCs/>
          <w:color w:val="000000" w:themeColor="text1"/>
          <w:sz w:val="28"/>
          <w:szCs w:val="28"/>
        </w:rPr>
        <w:t xml:space="preserve">, les conditions décentes requises pour la défense des citoyens les plus démunis. </w:t>
      </w:r>
    </w:p>
    <w:p w14:paraId="1401E6A4" w14:textId="3BD0FB09" w:rsidR="001F453B" w:rsidRPr="0030507E" w:rsidRDefault="001F453B" w:rsidP="001F453B">
      <w:pPr>
        <w:pStyle w:val="Corpsdetexte2"/>
        <w:rPr>
          <w:bCs/>
          <w:color w:val="000000" w:themeColor="text1"/>
          <w:sz w:val="28"/>
          <w:szCs w:val="28"/>
        </w:rPr>
      </w:pPr>
      <w:r w:rsidRPr="0030507E">
        <w:rPr>
          <w:bCs/>
          <w:color w:val="000000" w:themeColor="text1"/>
          <w:sz w:val="28"/>
          <w:szCs w:val="28"/>
        </w:rPr>
        <w:t xml:space="preserve"> </w:t>
      </w:r>
    </w:p>
    <w:p w14:paraId="27F9D176" w14:textId="31D5B3F9" w:rsidR="001F453B" w:rsidRPr="0030507E" w:rsidRDefault="001F453B" w:rsidP="001F453B">
      <w:pPr>
        <w:pStyle w:val="Corpsdetexte2"/>
        <w:rPr>
          <w:bCs/>
          <w:i/>
          <w:iCs/>
          <w:color w:val="000000" w:themeColor="text1"/>
          <w:sz w:val="28"/>
          <w:szCs w:val="28"/>
        </w:rPr>
      </w:pPr>
      <w:r w:rsidRPr="0030507E">
        <w:rPr>
          <w:bCs/>
          <w:i/>
          <w:iCs/>
          <w:color w:val="000000" w:themeColor="text1"/>
          <w:sz w:val="28"/>
          <w:szCs w:val="28"/>
        </w:rPr>
        <w:t>Je</w:t>
      </w:r>
      <w:r w:rsidR="00C878CB" w:rsidRPr="0030507E">
        <w:rPr>
          <w:bCs/>
          <w:i/>
          <w:iCs/>
          <w:color w:val="000000" w:themeColor="text1"/>
          <w:sz w:val="28"/>
          <w:szCs w:val="28"/>
        </w:rPr>
        <w:t>, soussignée, May DUPE, rejoins</w:t>
      </w:r>
      <w:r w:rsidRPr="0030507E">
        <w:rPr>
          <w:bCs/>
          <w:i/>
          <w:iCs/>
          <w:color w:val="000000" w:themeColor="text1"/>
          <w:sz w:val="28"/>
          <w:szCs w:val="28"/>
        </w:rPr>
        <w:t xml:space="preserve"> et m’associe également aux autres associations qui réclameraient d’autres réformes pour une meilleure Justice, en France.</w:t>
      </w:r>
    </w:p>
    <w:p w14:paraId="35E551F7" w14:textId="77777777" w:rsidR="001F453B" w:rsidRPr="0030507E" w:rsidRDefault="001F453B" w:rsidP="001F453B">
      <w:pPr>
        <w:pStyle w:val="Corpsdetexte2"/>
        <w:rPr>
          <w:bCs/>
          <w:color w:val="000000" w:themeColor="text1"/>
          <w:sz w:val="28"/>
          <w:szCs w:val="28"/>
        </w:rPr>
      </w:pPr>
    </w:p>
    <w:p w14:paraId="3986501D" w14:textId="77777777" w:rsidR="001F453B" w:rsidRPr="0030507E" w:rsidRDefault="001F453B" w:rsidP="001F453B">
      <w:pPr>
        <w:pStyle w:val="Corpsdetexte2"/>
        <w:rPr>
          <w:bCs/>
          <w:color w:val="000000" w:themeColor="text1"/>
          <w:sz w:val="28"/>
          <w:szCs w:val="28"/>
        </w:rPr>
      </w:pPr>
    </w:p>
    <w:p w14:paraId="70BC4B23" w14:textId="77777777" w:rsidR="001F453B" w:rsidRPr="0030507E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029B7F6B" w14:textId="77777777" w:rsidR="001F453B" w:rsidRPr="0030507E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51887AB5" w14:textId="77777777" w:rsidR="00774CC8" w:rsidRPr="0030507E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3334FF43" w14:textId="77777777" w:rsidR="00774CC8" w:rsidRPr="0030507E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6EC279E1" w14:textId="77777777" w:rsidR="00774CC8" w:rsidRPr="00E55F54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39F4FB56" w14:textId="77777777" w:rsidR="00774CC8" w:rsidRPr="00E55F54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6631750E" w14:textId="77777777" w:rsidR="00774CC8" w:rsidRPr="00E55F54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32E57B17" w14:textId="77777777" w:rsidR="00774CC8" w:rsidRPr="00E55F54" w:rsidRDefault="00774CC8" w:rsidP="001F453B">
      <w:pPr>
        <w:pStyle w:val="Corpsdetexte2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2CFA3C17" w14:textId="77777777" w:rsidR="00774CC8" w:rsidRPr="00E55F54" w:rsidRDefault="00774CC8" w:rsidP="00774CC8">
      <w:pPr>
        <w:pStyle w:val="Corpsdetexte2"/>
        <w:rPr>
          <w:i/>
          <w:color w:val="000000" w:themeColor="text1"/>
          <w:sz w:val="32"/>
          <w:szCs w:val="32"/>
        </w:rPr>
      </w:pPr>
    </w:p>
    <w:p w14:paraId="5A840E23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171F4470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2591297F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4CF1B870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03D8F94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04BA1A61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292A738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F260115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00478A3" w14:textId="77777777" w:rsidR="001F453B" w:rsidRPr="00E55F54" w:rsidRDefault="001F453B" w:rsidP="001F453B">
      <w:pPr>
        <w:pStyle w:val="Corpsdetexte2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769508B6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4E7C25ED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0BC7E006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65438661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6A873484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5FF6A0C4" w14:textId="77777777" w:rsidR="001F453B" w:rsidRDefault="001F453B" w:rsidP="001F453B">
      <w:pPr>
        <w:pStyle w:val="Corpsdetexte2"/>
        <w:rPr>
          <w:rFonts w:asciiTheme="minorHAnsi" w:hAnsiTheme="minorHAnsi"/>
          <w:bCs/>
          <w:color w:val="000000" w:themeColor="text1"/>
        </w:rPr>
      </w:pPr>
    </w:p>
    <w:p w14:paraId="42156B60" w14:textId="77777777" w:rsidR="000723E0" w:rsidRDefault="000723E0"/>
    <w:p w14:paraId="112C3FB4" w14:textId="77777777" w:rsidR="001F453B" w:rsidRDefault="001F453B"/>
    <w:sectPr w:rsidR="001F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B"/>
    <w:rsid w:val="0006126F"/>
    <w:rsid w:val="000723E0"/>
    <w:rsid w:val="00073B10"/>
    <w:rsid w:val="00093E6A"/>
    <w:rsid w:val="000A5C35"/>
    <w:rsid w:val="000B232D"/>
    <w:rsid w:val="000C3334"/>
    <w:rsid w:val="000C6768"/>
    <w:rsid w:val="001012EF"/>
    <w:rsid w:val="00103743"/>
    <w:rsid w:val="00110CA6"/>
    <w:rsid w:val="001231BA"/>
    <w:rsid w:val="00141AC6"/>
    <w:rsid w:val="00142449"/>
    <w:rsid w:val="00164590"/>
    <w:rsid w:val="001B4034"/>
    <w:rsid w:val="001B766D"/>
    <w:rsid w:val="001D6660"/>
    <w:rsid w:val="001E3E46"/>
    <w:rsid w:val="001E6A78"/>
    <w:rsid w:val="001F453B"/>
    <w:rsid w:val="00201E1E"/>
    <w:rsid w:val="00215E3C"/>
    <w:rsid w:val="00266FC3"/>
    <w:rsid w:val="00287C2D"/>
    <w:rsid w:val="002A08BE"/>
    <w:rsid w:val="002D083C"/>
    <w:rsid w:val="002E6717"/>
    <w:rsid w:val="0030507E"/>
    <w:rsid w:val="00317E54"/>
    <w:rsid w:val="00346228"/>
    <w:rsid w:val="003555EA"/>
    <w:rsid w:val="00363C7C"/>
    <w:rsid w:val="00364759"/>
    <w:rsid w:val="003873EB"/>
    <w:rsid w:val="00391CB8"/>
    <w:rsid w:val="00401A91"/>
    <w:rsid w:val="00427FB2"/>
    <w:rsid w:val="00461629"/>
    <w:rsid w:val="004B0217"/>
    <w:rsid w:val="004B373A"/>
    <w:rsid w:val="004C2B7F"/>
    <w:rsid w:val="005015E9"/>
    <w:rsid w:val="00503E99"/>
    <w:rsid w:val="005061E0"/>
    <w:rsid w:val="0053340B"/>
    <w:rsid w:val="00547EBF"/>
    <w:rsid w:val="00547EC2"/>
    <w:rsid w:val="00555DD3"/>
    <w:rsid w:val="00581493"/>
    <w:rsid w:val="005A06F0"/>
    <w:rsid w:val="005B0C1E"/>
    <w:rsid w:val="005B161F"/>
    <w:rsid w:val="005C0AFE"/>
    <w:rsid w:val="005F6A95"/>
    <w:rsid w:val="0061615A"/>
    <w:rsid w:val="0062019F"/>
    <w:rsid w:val="00624C03"/>
    <w:rsid w:val="00650920"/>
    <w:rsid w:val="006D6890"/>
    <w:rsid w:val="006F077D"/>
    <w:rsid w:val="006F7C0D"/>
    <w:rsid w:val="00710226"/>
    <w:rsid w:val="007161D6"/>
    <w:rsid w:val="007224F4"/>
    <w:rsid w:val="00740329"/>
    <w:rsid w:val="00774CC8"/>
    <w:rsid w:val="007757B2"/>
    <w:rsid w:val="007C6B11"/>
    <w:rsid w:val="007D005C"/>
    <w:rsid w:val="0081348F"/>
    <w:rsid w:val="00820C53"/>
    <w:rsid w:val="00826F36"/>
    <w:rsid w:val="00831623"/>
    <w:rsid w:val="00853FD4"/>
    <w:rsid w:val="00864600"/>
    <w:rsid w:val="00885141"/>
    <w:rsid w:val="008A4ABA"/>
    <w:rsid w:val="00936396"/>
    <w:rsid w:val="0093792C"/>
    <w:rsid w:val="00972064"/>
    <w:rsid w:val="00983700"/>
    <w:rsid w:val="00986B72"/>
    <w:rsid w:val="00995C37"/>
    <w:rsid w:val="009A1319"/>
    <w:rsid w:val="009A71CE"/>
    <w:rsid w:val="009B03D9"/>
    <w:rsid w:val="009C3EEF"/>
    <w:rsid w:val="009C43A8"/>
    <w:rsid w:val="009D0303"/>
    <w:rsid w:val="009D6112"/>
    <w:rsid w:val="009F0536"/>
    <w:rsid w:val="00A123F7"/>
    <w:rsid w:val="00A348BF"/>
    <w:rsid w:val="00A433D1"/>
    <w:rsid w:val="00A51467"/>
    <w:rsid w:val="00A61FFC"/>
    <w:rsid w:val="00AA0937"/>
    <w:rsid w:val="00AA7449"/>
    <w:rsid w:val="00AB40BE"/>
    <w:rsid w:val="00AC3133"/>
    <w:rsid w:val="00AE3AC5"/>
    <w:rsid w:val="00AE758C"/>
    <w:rsid w:val="00B02298"/>
    <w:rsid w:val="00B163E0"/>
    <w:rsid w:val="00B2595C"/>
    <w:rsid w:val="00B62AE3"/>
    <w:rsid w:val="00B745FC"/>
    <w:rsid w:val="00B87FF5"/>
    <w:rsid w:val="00BB14AB"/>
    <w:rsid w:val="00BB6188"/>
    <w:rsid w:val="00BB770C"/>
    <w:rsid w:val="00BC1F7B"/>
    <w:rsid w:val="00BD032C"/>
    <w:rsid w:val="00BD0B8E"/>
    <w:rsid w:val="00C01B97"/>
    <w:rsid w:val="00C10D65"/>
    <w:rsid w:val="00C127BF"/>
    <w:rsid w:val="00C50DA3"/>
    <w:rsid w:val="00C6636F"/>
    <w:rsid w:val="00C66D17"/>
    <w:rsid w:val="00C878CB"/>
    <w:rsid w:val="00CA12AB"/>
    <w:rsid w:val="00CE1336"/>
    <w:rsid w:val="00CF60DE"/>
    <w:rsid w:val="00D02F8B"/>
    <w:rsid w:val="00D05F65"/>
    <w:rsid w:val="00D338F6"/>
    <w:rsid w:val="00D33935"/>
    <w:rsid w:val="00D34125"/>
    <w:rsid w:val="00D35991"/>
    <w:rsid w:val="00D55427"/>
    <w:rsid w:val="00D57C22"/>
    <w:rsid w:val="00DC6DD4"/>
    <w:rsid w:val="00DD3E71"/>
    <w:rsid w:val="00DD6F6D"/>
    <w:rsid w:val="00DE4A9B"/>
    <w:rsid w:val="00E16630"/>
    <w:rsid w:val="00E21FD9"/>
    <w:rsid w:val="00E538A0"/>
    <w:rsid w:val="00E55F54"/>
    <w:rsid w:val="00E600F0"/>
    <w:rsid w:val="00E90D12"/>
    <w:rsid w:val="00EA01F2"/>
    <w:rsid w:val="00EB2C82"/>
    <w:rsid w:val="00EB518F"/>
    <w:rsid w:val="00EC1E03"/>
    <w:rsid w:val="00F315AA"/>
    <w:rsid w:val="00F539AA"/>
    <w:rsid w:val="00F63A32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4423"/>
  <w15:chartTrackingRefBased/>
  <w15:docId w15:val="{B146786A-8EAD-4CF3-A625-B57A3BD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F45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45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45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5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5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5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5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5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5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4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4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45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45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45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45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45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45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4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F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5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F4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45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F45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45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F45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5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453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unhideWhenUsed/>
    <w:rsid w:val="001F45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F453B"/>
    <w:rPr>
      <w:kern w:val="0"/>
      <w:sz w:val="22"/>
      <w:szCs w:val="22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1F45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453B"/>
    <w:rPr>
      <w:rFonts w:ascii="Times New Roman" w:eastAsiaTheme="minorEastAsia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dupe.may@orange.fr</dc:creator>
  <cp:keywords/>
  <dc:description/>
  <cp:lastModifiedBy>dupe.may@orange.fr</cp:lastModifiedBy>
  <cp:revision>143</cp:revision>
  <dcterms:created xsi:type="dcterms:W3CDTF">2025-01-22T11:20:00Z</dcterms:created>
  <dcterms:modified xsi:type="dcterms:W3CDTF">2025-01-23T18:15:00Z</dcterms:modified>
</cp:coreProperties>
</file>